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11</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407932</w:t>
      </w:r>
    </w:p>
    <w:p>
      <w:pPr>
        <w:pStyle w:val="16"/>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tabs>
          <w:tab w:val="left" w:pos="1765"/>
          <w:tab w:val="center" w:pos="4557"/>
        </w:tabs>
        <w:rPr>
          <w:b/>
          <w:sz w:val="22"/>
        </w:rPr>
      </w:pPr>
    </w:p>
    <w:p>
      <w:pPr>
        <w:tabs>
          <w:tab w:val="left" w:pos="1765"/>
          <w:tab w:val="center" w:pos="4557"/>
        </w:tabs>
        <w:rPr>
          <w:b/>
          <w:sz w:val="22"/>
        </w:rPr>
      </w:pPr>
      <w:r>
        <w:rPr>
          <w:b/>
          <w:sz w:val="22"/>
        </w:rPr>
        <w:t>Agenda Item:</w:t>
      </w:r>
      <w:r>
        <w:rPr>
          <w:b/>
          <w:sz w:val="22"/>
          <w:highlight w:val="none"/>
        </w:rPr>
        <w:tab/>
      </w:r>
      <w:r>
        <w:rPr>
          <w:rFonts w:hint="eastAsia"/>
          <w:sz w:val="22"/>
          <w:highlight w:val="none"/>
          <w:lang w:val="en-US" w:eastAsia="zh-CN"/>
        </w:rPr>
        <w:t>7.16</w:t>
      </w:r>
      <w:r>
        <w:rPr>
          <w:sz w:val="22"/>
          <w:highlight w:val="none"/>
        </w:rPr>
        <w:t>.</w:t>
      </w:r>
      <w:r>
        <w:rPr>
          <w:rFonts w:hint="eastAsia"/>
          <w:sz w:val="22"/>
          <w:highlight w:val="none"/>
        </w:rPr>
        <w:t>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(NR_NTN_enh-Core) Discussion on the maintenance issue</w:t>
      </w:r>
      <w:r>
        <w:rPr>
          <w:rFonts w:hint="eastAsia"/>
          <w:sz w:val="22"/>
          <w:lang w:val="en-US" w:eastAsia="zh-CN"/>
        </w:rPr>
        <w:t xml:space="preserve"> and the LS from RAN2 for NR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last meeting, the agreements on RRM core requirements for NR NTN enhancement were listed in WF [1]. There are still some unresolved maintenance issues. In this contribution, we provide our point of views.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addition, RAN2 sent the LS to RAN1/4 [2], request RAN1/4 to check the agreement from RAN2, we will give our analysis.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spacing w:before="120" w:after="120" w:line="276" w:lineRule="auto"/>
              <w:jc w:val="both"/>
              <w:rPr>
                <w:rFonts w:ascii="Arial" w:hAnsi="Arial" w:cs="Arial"/>
                <w:color w:val="000000"/>
                <w:sz w:val="20"/>
                <w:szCs w:val="20"/>
                <w:lang w:eastAsia="ko-KR"/>
              </w:rPr>
            </w:pPr>
            <w:r>
              <w:rPr>
                <w:rFonts w:ascii="Arial" w:hAnsi="Arial" w:cs="Arial"/>
                <w:color w:val="000000"/>
                <w:sz w:val="20"/>
                <w:szCs w:val="20"/>
                <w:lang w:eastAsia="ko-KR"/>
              </w:rPr>
              <w:t>For satellite switch with resync procedure, the configuration of ssb-TimeOffset is introduced in SIB19 to</w:t>
            </w:r>
            <w:r>
              <w:rPr>
                <w:sz w:val="20"/>
                <w:szCs w:val="20"/>
                <w:lang w:eastAsia="ja-JP"/>
              </w:rPr>
              <w:t xml:space="preserve"> </w:t>
            </w:r>
            <w:r>
              <w:rPr>
                <w:rFonts w:ascii="Arial" w:hAnsi="Arial" w:cs="Arial"/>
                <w:color w:val="000000"/>
                <w:sz w:val="20"/>
                <w:szCs w:val="20"/>
                <w:lang w:eastAsia="ko-KR"/>
              </w:rPr>
              <w:t>indicate the time offset between the SSB from source and target satellite</w:t>
            </w:r>
            <w:r>
              <w:rPr>
                <w:sz w:val="20"/>
                <w:szCs w:val="20"/>
              </w:rPr>
              <w:t xml:space="preserve"> </w:t>
            </w:r>
            <w:r>
              <w:rPr>
                <w:rFonts w:ascii="Arial" w:hAnsi="Arial" w:cs="Arial"/>
                <w:color w:val="000000"/>
                <w:sz w:val="20"/>
                <w:szCs w:val="20"/>
                <w:lang w:eastAsia="ko-KR"/>
              </w:rPr>
              <w:t>at the uplink time synchronization reference point.</w:t>
            </w:r>
            <w:r>
              <w:rPr>
                <w:rFonts w:ascii="Arial" w:hAnsi="Arial" w:cs="Arial"/>
                <w:color w:val="000000"/>
                <w:sz w:val="20"/>
                <w:szCs w:val="20"/>
                <w:highlight w:val="none"/>
                <w:lang w:eastAsia="ko-KR"/>
              </w:rPr>
              <w:t xml:space="preserve"> </w:t>
            </w:r>
          </w:p>
          <w:p>
            <w:pPr>
              <w:spacing w:before="120" w:after="120" w:line="276" w:lineRule="auto"/>
              <w:jc w:val="both"/>
              <w:rPr>
                <w:rFonts w:ascii="Arial" w:hAnsi="Arial" w:cs="Arial"/>
                <w:color w:val="000000"/>
                <w:sz w:val="20"/>
                <w:szCs w:val="20"/>
                <w:lang w:eastAsia="ko-KR"/>
              </w:rPr>
            </w:pPr>
            <w:r>
              <w:rPr>
                <w:rFonts w:ascii="Arial" w:hAnsi="Arial" w:cs="Arial"/>
                <w:color w:val="000000"/>
                <w:sz w:val="20"/>
                <w:szCs w:val="20"/>
                <w:lang w:eastAsia="ko-KR"/>
              </w:rPr>
              <w:t>In RAN2#125bis meeting, RAN2 is considering adopting the gNB as the reference point of ssb-TimeOffset. RAN2 would like to check with RAN4 and RAN1 whether this would be acceptable.</w:t>
            </w:r>
          </w:p>
          <w:p>
            <w:pPr>
              <w:spacing w:after="120"/>
              <w:ind w:left="993" w:hanging="993"/>
              <w:jc w:val="both"/>
              <w:rPr>
                <w:rFonts w:hint="default"/>
                <w:sz w:val="20"/>
                <w:szCs w:val="20"/>
                <w:vertAlign w:val="baseline"/>
                <w:lang w:val="en-US" w:eastAsia="zh-CN"/>
              </w:rPr>
            </w:pPr>
            <w:r>
              <w:rPr>
                <w:rFonts w:ascii="Arial" w:hAnsi="Arial" w:cs="Arial"/>
                <w:b/>
                <w:sz w:val="20"/>
                <w:szCs w:val="20"/>
              </w:rPr>
              <w:t xml:space="preserve">ACTION: </w:t>
            </w:r>
            <w:r>
              <w:rPr>
                <w:rFonts w:ascii="Arial" w:hAnsi="Arial" w:cs="Arial"/>
                <w:b/>
                <w:color w:val="0070C0"/>
                <w:sz w:val="20"/>
                <w:szCs w:val="20"/>
              </w:rPr>
              <w:tab/>
            </w:r>
            <w:r>
              <w:rPr>
                <w:rFonts w:ascii="Arial" w:hAnsi="Arial" w:cs="Arial"/>
                <w:sz w:val="20"/>
                <w:szCs w:val="20"/>
                <w:lang w:val="en-US"/>
              </w:rPr>
              <w:t>RAN2 respectfully asks RAN4 and RAN1 to take the above into consideration and come back if any issues are determined.</w:t>
            </w:r>
          </w:p>
        </w:tc>
      </w:tr>
    </w:tbl>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Discussion</w:t>
      </w:r>
    </w:p>
    <w:p>
      <w:pPr>
        <w:outlineLvl w:val="2"/>
        <w:rPr>
          <w:rFonts w:hint="eastAsia"/>
          <w:b/>
          <w:i/>
          <w:iCs/>
          <w:sz w:val="20"/>
          <w:szCs w:val="20"/>
          <w:highlight w:val="none"/>
          <w:u w:val="single"/>
          <w:lang w:eastAsia="ko-KR"/>
        </w:rPr>
      </w:pPr>
      <w:bookmarkStart w:id="8" w:name="_Hlk147849822"/>
      <w:r>
        <w:rPr>
          <w:rFonts w:hint="eastAsia"/>
          <w:b/>
          <w:i/>
          <w:iCs/>
          <w:sz w:val="20"/>
          <w:szCs w:val="20"/>
          <w:highlight w:val="none"/>
          <w:u w:val="single"/>
          <w:lang w:eastAsia="ko-KR"/>
        </w:rPr>
        <w:t>Issue 4-1: TN to NTN cell reselection</w:t>
      </w:r>
    </w:p>
    <w:bookmarkEnd w:id="8"/>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RAN4#110 meeting, RAN4 agreed that Timer-based measurement triggering parts not applicable for cell reselection from TN to NTN [3].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Considering of Rel-17 Location-based cell re-selection measurement criterion, UE will initiate the measurement when the distance between UE and serving </w:t>
      </w:r>
      <w:r>
        <w:rPr>
          <w:rFonts w:hint="eastAsia"/>
          <w:i/>
          <w:iCs/>
          <w:sz w:val="20"/>
          <w:szCs w:val="20"/>
          <w:lang w:val="en-US" w:eastAsia="zh-CN"/>
        </w:rPr>
        <w:t>referenceLocation</w:t>
      </w:r>
      <w:r>
        <w:rPr>
          <w:rFonts w:hint="eastAsia"/>
          <w:sz w:val="20"/>
          <w:szCs w:val="20"/>
          <w:lang w:val="en-US" w:eastAsia="zh-CN"/>
        </w:rPr>
        <w:t xml:space="preserve"> minus distance margin is larger than </w:t>
      </w:r>
      <w:r>
        <w:rPr>
          <w:rFonts w:hint="eastAsia"/>
          <w:i/>
          <w:iCs/>
          <w:sz w:val="20"/>
          <w:szCs w:val="20"/>
          <w:lang w:val="en-US" w:eastAsia="zh-CN"/>
        </w:rPr>
        <w:t>distanceThresh</w:t>
      </w:r>
      <w:r>
        <w:rPr>
          <w:rFonts w:hint="eastAsia"/>
          <w:sz w:val="20"/>
          <w:szCs w:val="20"/>
          <w:lang w:val="en-US" w:eastAsia="zh-CN"/>
        </w:rPr>
        <w:t>. However, based on our knowledge, TN serving cell doesn</w:t>
      </w:r>
      <w:r>
        <w:rPr>
          <w:rFonts w:hint="default"/>
          <w:sz w:val="20"/>
          <w:szCs w:val="20"/>
          <w:lang w:val="en-US" w:eastAsia="zh-CN"/>
        </w:rPr>
        <w:t>’</w:t>
      </w:r>
      <w:r>
        <w:rPr>
          <w:rFonts w:hint="eastAsia"/>
          <w:sz w:val="20"/>
          <w:szCs w:val="20"/>
          <w:lang w:val="en-US" w:eastAsia="zh-CN"/>
        </w:rPr>
        <w:t xml:space="preserve">t support to configure the </w:t>
      </w:r>
      <w:r>
        <w:rPr>
          <w:rFonts w:hint="eastAsia"/>
          <w:i/>
          <w:iCs/>
          <w:sz w:val="20"/>
          <w:szCs w:val="20"/>
          <w:lang w:val="en-US" w:eastAsia="zh-CN"/>
        </w:rPr>
        <w:t>referencelocation</w:t>
      </w:r>
      <w:r>
        <w:rPr>
          <w:rFonts w:hint="eastAsia"/>
          <w:sz w:val="20"/>
          <w:szCs w:val="20"/>
          <w:lang w:val="en-US" w:eastAsia="zh-CN"/>
        </w:rPr>
        <w:t xml:space="preserve"> and </w:t>
      </w:r>
      <w:r>
        <w:rPr>
          <w:rFonts w:hint="eastAsia"/>
          <w:i/>
          <w:iCs/>
          <w:sz w:val="20"/>
          <w:szCs w:val="20"/>
          <w:lang w:val="en-US" w:eastAsia="zh-CN"/>
        </w:rPr>
        <w:t>distancethresh</w:t>
      </w:r>
      <w:r>
        <w:rPr>
          <w:rFonts w:hint="eastAsia"/>
          <w:sz w:val="20"/>
          <w:szCs w:val="20"/>
          <w:lang w:val="en-US" w:eastAsia="zh-CN"/>
        </w:rPr>
        <w:t>. Therefore, the location-based measurement triggering is not applicable for cell re-selection from TN to NTN, neither.</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The location-based measurement triggering is not applicable for cell re-selection from TN to NTN.</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Theme="minorEastAsia"/>
          <w:sz w:val="20"/>
          <w:szCs w:val="20"/>
          <w:lang w:val="en-US" w:eastAsia="zh-CN"/>
        </w:rPr>
      </w:pPr>
      <w:r>
        <w:rPr>
          <w:rFonts w:hint="eastAsia"/>
          <w:sz w:val="20"/>
          <w:szCs w:val="20"/>
          <w:lang w:val="en-US" w:eastAsia="zh-CN"/>
        </w:rPr>
        <w:t xml:space="preserve">Currently, the TN to NTN cell re-selection core requirements are not captured in the spec. In RAN4#110, it is agreed that the IDLE mode </w:t>
      </w:r>
      <w:r>
        <w:rPr>
          <w:rFonts w:hint="eastAsia"/>
          <w:sz w:val="20"/>
          <w:szCs w:val="20"/>
          <w:lang w:val="en-US" w:eastAsia="ja-JP"/>
        </w:rPr>
        <w:t xml:space="preserve">TN-to-NTN cell reselection </w:t>
      </w:r>
      <w:r>
        <w:rPr>
          <w:rFonts w:hint="eastAsia"/>
          <w:sz w:val="20"/>
          <w:szCs w:val="20"/>
          <w:lang w:val="en-US" w:eastAsia="zh-CN"/>
        </w:rPr>
        <w:t>requirements will be i</w:t>
      </w:r>
      <w:r>
        <w:rPr>
          <w:rFonts w:hint="eastAsia"/>
          <w:sz w:val="20"/>
          <w:szCs w:val="20"/>
          <w:lang w:val="en-US" w:eastAsia="ja-JP"/>
        </w:rPr>
        <w:t>mplement</w:t>
      </w:r>
      <w:r>
        <w:rPr>
          <w:rFonts w:hint="eastAsia"/>
          <w:sz w:val="20"/>
          <w:szCs w:val="20"/>
          <w:lang w:val="en-US" w:eastAsia="zh-CN"/>
        </w:rPr>
        <w:t>ed</w:t>
      </w:r>
      <w:r>
        <w:rPr>
          <w:rFonts w:hint="eastAsia"/>
          <w:sz w:val="20"/>
          <w:szCs w:val="20"/>
          <w:lang w:val="en-US" w:eastAsia="ja-JP"/>
        </w:rPr>
        <w:t xml:space="preserve"> in a new subclause under clause 4.2</w:t>
      </w:r>
      <w:r>
        <w:rPr>
          <w:rFonts w:hint="eastAsia"/>
          <w:sz w:val="20"/>
          <w:szCs w:val="20"/>
          <w:lang w:val="en-US" w:eastAsia="zh-CN"/>
        </w:rPr>
        <w:t>, while how to implement the impact to the TN-to-TN requirement under this scenario is still FFS.</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our understanding, it is important to guarantee that the legacy TN to TN cell re-selection requirements will not be impacted by TN to NTN cell re-selection requirements. Therefore, we think an applicability rule can be defined under the new subclause, that TN to NTN cell re-selection requirements are only applicable when the UE is NTN capable and NTN neighbor cell(s) has been configured for measurements.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Define an applicability rule for the new subclause for TN to NTN cell reselection requirements, that the requirements are only applicable when the UE is NTN capable and NTN neighbor cell(s) has been configured for measurements.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p>
    <w:p>
      <w:pPr>
        <w:outlineLvl w:val="2"/>
        <w:rPr>
          <w:rFonts w:hint="eastAsia"/>
          <w:b/>
          <w:i/>
          <w:iCs/>
          <w:sz w:val="20"/>
          <w:szCs w:val="20"/>
          <w:highlight w:val="none"/>
          <w:u w:val="single"/>
          <w:lang w:eastAsia="ko-KR"/>
        </w:rPr>
      </w:pPr>
      <w:r>
        <w:rPr>
          <w:rFonts w:hint="eastAsia"/>
          <w:b/>
          <w:i/>
          <w:iCs/>
          <w:sz w:val="20"/>
          <w:szCs w:val="20"/>
          <w:highlight w:val="none"/>
          <w:u w:val="single"/>
          <w:lang w:eastAsia="ko-KR"/>
        </w:rPr>
        <w:t>LS on reference point for SSB-TimeOffset</w:t>
      </w:r>
    </w:p>
    <w:p>
      <w:pPr>
        <w:spacing w:before="120" w:after="180"/>
        <w:rPr>
          <w:sz w:val="20"/>
          <w:szCs w:val="20"/>
        </w:rPr>
      </w:pPr>
      <w:r>
        <w:rPr>
          <w:sz w:val="20"/>
          <w:szCs w:val="20"/>
        </w:rPr>
        <w:t>C</w:t>
      </w:r>
      <w:r>
        <w:rPr>
          <w:rFonts w:hint="eastAsia"/>
          <w:sz w:val="20"/>
          <w:szCs w:val="20"/>
        </w:rPr>
        <w:t xml:space="preserve">urrently in the TS38.331, the </w:t>
      </w:r>
      <w:r>
        <w:rPr>
          <w:sz w:val="20"/>
          <w:szCs w:val="20"/>
        </w:rPr>
        <w:t>ssb-TimeOffset</w:t>
      </w:r>
      <w:r>
        <w:rPr>
          <w:rFonts w:hint="eastAsia"/>
          <w:sz w:val="20"/>
          <w:szCs w:val="20"/>
        </w:rPr>
        <w:t xml:space="preserve"> is defined </w:t>
      </w:r>
      <w:r>
        <w:rPr>
          <w:rFonts w:hint="eastAsia"/>
          <w:sz w:val="20"/>
          <w:szCs w:val="20"/>
          <w:lang w:val="en-US" w:eastAsia="zh-CN"/>
        </w:rPr>
        <w:t>at</w:t>
      </w:r>
      <w:r>
        <w:rPr>
          <w:rFonts w:hint="eastAsia"/>
          <w:sz w:val="20"/>
          <w:szCs w:val="20"/>
        </w:rPr>
        <w:t xml:space="preserve"> the uplink time synchronization </w:t>
      </w:r>
      <w:r>
        <w:rPr>
          <w:sz w:val="20"/>
          <w:szCs w:val="20"/>
        </w:rPr>
        <w:t>reference</w:t>
      </w:r>
      <w:r>
        <w:rPr>
          <w:rFonts w:hint="eastAsia"/>
          <w:sz w:val="20"/>
          <w:szCs w:val="20"/>
        </w:rPr>
        <w:t xml:space="preserve"> point.</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sv-SE" w:bidi="ar-SA"/>
        </w:rPr>
      </w:pPr>
      <w:r>
        <w:rPr>
          <w:rFonts w:ascii="Arial" w:hAnsi="Arial" w:eastAsia="Times New Roman" w:cs="Times New Roman"/>
          <w:b/>
          <w:bCs/>
          <w:i/>
          <w:iCs/>
          <w:sz w:val="18"/>
          <w:lang w:val="en-GB" w:eastAsia="sv-SE" w:bidi="ar-SA"/>
        </w:rPr>
        <w:t>ssb-TimeOffset</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ascii="Arial" w:hAnsi="Arial" w:eastAsia="Times New Roman" w:cs="Times New Roman"/>
          <w:sz w:val="18"/>
          <w:lang w:val="en-GB" w:eastAsia="ja-JP" w:bidi="ar-SA"/>
        </w:rPr>
        <w:t xml:space="preserve">Indicates the time offset between the SSB from source and target satellite at the </w:t>
      </w:r>
      <w:r>
        <w:rPr>
          <w:rFonts w:ascii="Arial" w:hAnsi="Arial" w:eastAsia="Times New Roman" w:cs="Times New Roman"/>
          <w:b/>
          <w:bCs/>
          <w:sz w:val="18"/>
          <w:lang w:val="en-GB" w:eastAsia="ja-JP" w:bidi="ar-SA"/>
        </w:rPr>
        <w:t>uplink time synchronization reference point</w:t>
      </w:r>
      <w:r>
        <w:rPr>
          <w:rFonts w:ascii="Arial" w:hAnsi="Arial" w:eastAsia="Times New Roman" w:cs="Times New Roman"/>
          <w:sz w:val="18"/>
          <w:lang w:val="en-GB" w:eastAsia="ja-JP" w:bidi="ar-SA"/>
        </w:rPr>
        <w:t>. It is given in number of subframes.</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RAN2#125bis, RAN2 considered adopting the gNB as the reference point of ssb-TimeOffset and would like to check with RAN4 and RAN1 whether this would be acceptable. We copy the contents of LS for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bidi="ar-SA"/>
              </w:rPr>
            </w:pPr>
            <w:r>
              <w:rPr>
                <w:rFonts w:ascii="Arial" w:hAnsi="Arial" w:eastAsia="宋体" w:cs="Times New Roman"/>
                <w:sz w:val="36"/>
                <w:lang w:val="en-GB" w:eastAsia="en-GB" w:bidi="ar-SA"/>
              </w:rPr>
              <w:t>1</w:t>
            </w:r>
            <w:r>
              <w:rPr>
                <w:rFonts w:ascii="Arial" w:hAnsi="Arial" w:eastAsia="宋体" w:cs="Times New Roman"/>
                <w:sz w:val="36"/>
                <w:lang w:val="en-GB" w:eastAsia="en-GB" w:bidi="ar-SA"/>
              </w:rPr>
              <w:tab/>
            </w:r>
            <w:r>
              <w:rPr>
                <w:rFonts w:ascii="Arial" w:hAnsi="Arial" w:eastAsia="宋体" w:cs="Times New Roman"/>
                <w:sz w:val="36"/>
                <w:lang w:val="en-GB" w:eastAsia="en-GB" w:bidi="ar-SA"/>
              </w:rPr>
              <w:t>Overall description</w:t>
            </w:r>
          </w:p>
          <w:p>
            <w:pPr>
              <w:overflowPunct w:val="0"/>
              <w:autoSpaceDE w:val="0"/>
              <w:autoSpaceDN w:val="0"/>
              <w:adjustRightInd w:val="0"/>
              <w:spacing w:before="120" w:after="120" w:line="276" w:lineRule="auto"/>
              <w:jc w:val="both"/>
              <w:textAlignment w:val="baseline"/>
              <w:rPr>
                <w:rFonts w:ascii="Arial" w:hAnsi="Arial" w:eastAsia="宋体" w:cs="Arial"/>
                <w:color w:val="000000"/>
                <w:sz w:val="20"/>
                <w:szCs w:val="20"/>
                <w:lang w:val="en-GB" w:eastAsia="ko-KR"/>
              </w:rPr>
            </w:pPr>
            <w:r>
              <w:rPr>
                <w:rFonts w:ascii="Arial" w:hAnsi="Arial" w:eastAsia="宋体" w:cs="Arial"/>
                <w:color w:val="000000"/>
                <w:sz w:val="20"/>
                <w:szCs w:val="20"/>
                <w:lang w:val="en-GB" w:eastAsia="ko-KR"/>
              </w:rPr>
              <w:t>For satellite switch with resync procedure, the configuration of ssb-TimeOffset is introduced in SIB19 to</w:t>
            </w:r>
            <w:r>
              <w:rPr>
                <w:rFonts w:ascii="Times New Roman" w:hAnsi="Times New Roman" w:eastAsia="宋体" w:cs="Times New Roman"/>
                <w:sz w:val="20"/>
                <w:szCs w:val="20"/>
                <w:lang w:val="en-GB" w:eastAsia="ja-JP"/>
              </w:rPr>
              <w:t xml:space="preserve"> </w:t>
            </w:r>
            <w:r>
              <w:rPr>
                <w:rFonts w:ascii="Arial" w:hAnsi="Arial" w:eastAsia="宋体" w:cs="Arial"/>
                <w:color w:val="000000"/>
                <w:sz w:val="20"/>
                <w:szCs w:val="20"/>
                <w:lang w:val="en-GB" w:eastAsia="ko-KR"/>
              </w:rPr>
              <w:t>indicate the time offset between the SSB from source and target satellite</w:t>
            </w:r>
            <w:r>
              <w:rPr>
                <w:rFonts w:ascii="Times New Roman" w:hAnsi="Times New Roman" w:eastAsia="宋体" w:cs="Times New Roman"/>
                <w:sz w:val="20"/>
                <w:szCs w:val="20"/>
                <w:lang w:val="en-GB" w:eastAsia="en-GB"/>
              </w:rPr>
              <w:t xml:space="preserve"> </w:t>
            </w:r>
            <w:r>
              <w:rPr>
                <w:rFonts w:ascii="Arial" w:hAnsi="Arial" w:eastAsia="宋体" w:cs="Arial"/>
                <w:color w:val="000000"/>
                <w:sz w:val="20"/>
                <w:szCs w:val="20"/>
                <w:lang w:val="en-GB" w:eastAsia="ko-KR"/>
              </w:rPr>
              <w:t>at the uplink time synchronization reference point.</w:t>
            </w:r>
            <w:r>
              <w:rPr>
                <w:rFonts w:ascii="Arial" w:hAnsi="Arial" w:eastAsia="宋体" w:cs="Arial"/>
                <w:color w:val="000000"/>
                <w:sz w:val="20"/>
                <w:szCs w:val="20"/>
                <w:highlight w:val="none"/>
                <w:lang w:val="en-GB" w:eastAsia="ko-KR"/>
              </w:rPr>
              <w:t xml:space="preserve"> </w:t>
            </w:r>
          </w:p>
          <w:p>
            <w:pPr>
              <w:overflowPunct w:val="0"/>
              <w:autoSpaceDE w:val="0"/>
              <w:autoSpaceDN w:val="0"/>
              <w:adjustRightInd w:val="0"/>
              <w:spacing w:before="120" w:after="120" w:line="276" w:lineRule="auto"/>
              <w:jc w:val="both"/>
              <w:textAlignment w:val="baseline"/>
              <w:rPr>
                <w:rFonts w:ascii="Arial" w:hAnsi="Arial" w:eastAsia="宋体" w:cs="Arial"/>
                <w:color w:val="000000"/>
                <w:sz w:val="20"/>
                <w:szCs w:val="20"/>
                <w:lang w:val="en-GB" w:eastAsia="ko-KR"/>
              </w:rPr>
            </w:pPr>
            <w:r>
              <w:rPr>
                <w:rFonts w:ascii="Arial" w:hAnsi="Arial" w:eastAsia="宋体" w:cs="Arial"/>
                <w:color w:val="000000"/>
                <w:sz w:val="20"/>
                <w:szCs w:val="20"/>
                <w:lang w:val="en-GB" w:eastAsia="ko-KR"/>
              </w:rPr>
              <w:t>In RAN2#125bis meeting, RAN2 is considering adopting the gNB as the reference point of ssb-TimeOffset. RAN2 would like to check with RAN4 and RAN1 whether this would be acceptable.</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宋体" w:cs="Times New Roman"/>
                <w:sz w:val="36"/>
                <w:lang w:val="en-GB" w:eastAsia="en-GB" w:bidi="ar-SA"/>
              </w:rPr>
            </w:pPr>
            <w:r>
              <w:rPr>
                <w:rFonts w:ascii="Arial" w:hAnsi="Arial" w:eastAsia="宋体" w:cs="Times New Roman"/>
                <w:sz w:val="36"/>
                <w:lang w:val="en-GB" w:eastAsia="en-GB" w:bidi="ar-SA"/>
              </w:rPr>
              <w:t>2</w:t>
            </w:r>
            <w:r>
              <w:rPr>
                <w:rFonts w:ascii="Arial" w:hAnsi="Arial" w:eastAsia="宋体" w:cs="Times New Roman"/>
                <w:sz w:val="36"/>
                <w:lang w:val="en-GB" w:eastAsia="en-GB" w:bidi="ar-SA"/>
              </w:rPr>
              <w:tab/>
            </w:r>
            <w:r>
              <w:rPr>
                <w:rFonts w:ascii="Arial" w:hAnsi="Arial" w:eastAsia="宋体" w:cs="Times New Roman"/>
                <w:sz w:val="36"/>
                <w:lang w:val="en-GB" w:eastAsia="en-GB" w:bidi="ar-SA"/>
              </w:rPr>
              <w:t>Actions</w:t>
            </w:r>
          </w:p>
          <w:p>
            <w:pPr>
              <w:overflowPunct w:val="0"/>
              <w:autoSpaceDE w:val="0"/>
              <w:autoSpaceDN w:val="0"/>
              <w:adjustRightInd w:val="0"/>
              <w:spacing w:after="120"/>
              <w:ind w:left="1985" w:hanging="1985"/>
              <w:textAlignment w:val="baseline"/>
              <w:rPr>
                <w:rFonts w:ascii="Arial" w:hAnsi="Arial" w:eastAsia="宋体" w:cs="Arial"/>
                <w:b/>
                <w:sz w:val="20"/>
                <w:szCs w:val="20"/>
                <w:lang w:val="en-GB" w:eastAsia="en-GB"/>
              </w:rPr>
            </w:pPr>
            <w:r>
              <w:rPr>
                <w:rFonts w:ascii="Arial" w:hAnsi="Arial" w:eastAsia="宋体" w:cs="Arial"/>
                <w:b/>
                <w:sz w:val="20"/>
                <w:szCs w:val="20"/>
                <w:lang w:val="en-GB" w:eastAsia="en-GB"/>
              </w:rPr>
              <w:t>To RAN4, RAN1:</w:t>
            </w:r>
          </w:p>
          <w:p>
            <w:pPr>
              <w:overflowPunct w:val="0"/>
              <w:autoSpaceDE w:val="0"/>
              <w:autoSpaceDN w:val="0"/>
              <w:adjustRightInd w:val="0"/>
              <w:spacing w:after="120"/>
              <w:ind w:left="993" w:hanging="993"/>
              <w:jc w:val="both"/>
              <w:textAlignment w:val="baseline"/>
              <w:rPr>
                <w:rFonts w:ascii="Arial" w:hAnsi="Arial" w:eastAsia="宋体" w:cs="Arial"/>
                <w:sz w:val="20"/>
                <w:szCs w:val="20"/>
                <w:lang w:val="en-GB" w:eastAsia="en-GB"/>
              </w:rPr>
            </w:pPr>
            <w:r>
              <w:rPr>
                <w:rFonts w:ascii="Arial" w:hAnsi="Arial" w:eastAsia="宋体" w:cs="Arial"/>
                <w:b/>
                <w:sz w:val="20"/>
                <w:szCs w:val="20"/>
                <w:lang w:val="en-GB" w:eastAsia="en-GB"/>
              </w:rPr>
              <w:t xml:space="preserve">ACTION: </w:t>
            </w:r>
            <w:r>
              <w:rPr>
                <w:rFonts w:ascii="Arial" w:hAnsi="Arial" w:eastAsia="宋体" w:cs="Arial"/>
                <w:b/>
                <w:color w:val="0070C0"/>
                <w:sz w:val="20"/>
                <w:szCs w:val="20"/>
                <w:lang w:val="en-GB" w:eastAsia="en-GB"/>
              </w:rPr>
              <w:tab/>
            </w:r>
            <w:r>
              <w:rPr>
                <w:rFonts w:ascii="Arial" w:hAnsi="Arial" w:eastAsia="宋体" w:cs="Arial"/>
                <w:sz w:val="20"/>
                <w:szCs w:val="20"/>
                <w:lang w:val="en-US" w:eastAsia="en-GB"/>
              </w:rPr>
              <w:t>RAN2 respectfully asks RAN4 and RAN1 to take the above into consideration and come back if any issues are determined.</w:t>
            </w:r>
          </w:p>
          <w:p>
            <w:pPr>
              <w:outlineLvl w:val="2"/>
              <w:rPr>
                <w:rFonts w:hint="default"/>
                <w:b/>
                <w:i/>
                <w:iCs/>
                <w:sz w:val="20"/>
                <w:szCs w:val="20"/>
                <w:highlight w:val="none"/>
                <w:u w:val="single"/>
                <w:vertAlign w:val="baseline"/>
                <w:lang w:val="en-US" w:eastAsia="zh-CN"/>
              </w:rPr>
            </w:pPr>
          </w:p>
        </w:tc>
      </w:tr>
    </w:tbl>
    <w:p>
      <w:pPr>
        <w:outlineLvl w:val="2"/>
        <w:rPr>
          <w:rFonts w:hint="default"/>
          <w:b/>
          <w:i/>
          <w:iCs/>
          <w:sz w:val="20"/>
          <w:szCs w:val="20"/>
          <w:highlight w:val="none"/>
          <w:u w:val="single"/>
          <w:lang w:val="en-US" w:eastAsia="zh-CN"/>
        </w:rPr>
      </w:pP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satellite switch with resync scenario, UE will handle the target satellite SSB tracking autonomously itself based on the provided SSB-timeOffset and the propagation delay difference between service cell and target cell. The propagation delay is counted from the SSB-TimeOffset reference point to UE for each cell. </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eastAsiaTheme="minorEastAsia"/>
          <w:sz w:val="20"/>
          <w:szCs w:val="20"/>
          <w:lang w:val="en-US" w:eastAsia="zh-CN"/>
        </w:rPr>
      </w:pPr>
      <w:r>
        <w:rPr>
          <w:rFonts w:hint="eastAsia"/>
          <w:sz w:val="20"/>
          <w:szCs w:val="20"/>
          <w:lang w:val="en-US" w:eastAsia="zh-CN"/>
        </w:rPr>
        <w:t xml:space="preserve">If we follow the current definition, that set the SSB-TimeOffset reference point at the </w:t>
      </w:r>
      <w:r>
        <w:rPr>
          <w:rFonts w:hint="eastAsia"/>
          <w:sz w:val="20"/>
          <w:szCs w:val="20"/>
        </w:rPr>
        <w:t xml:space="preserve">uplink time synchronization </w:t>
      </w:r>
      <w:r>
        <w:rPr>
          <w:sz w:val="20"/>
          <w:szCs w:val="20"/>
        </w:rPr>
        <w:t>reference</w:t>
      </w:r>
      <w:r>
        <w:rPr>
          <w:rFonts w:hint="eastAsia"/>
          <w:sz w:val="20"/>
          <w:szCs w:val="20"/>
        </w:rPr>
        <w:t xml:space="preserve"> point</w:t>
      </w:r>
      <w:r>
        <w:rPr>
          <w:rFonts w:hint="eastAsia"/>
          <w:sz w:val="20"/>
          <w:szCs w:val="20"/>
          <w:lang w:val="en-US" w:eastAsia="zh-CN"/>
        </w:rPr>
        <w:t xml:space="preserve">, then from the perspective of UE, the target SSB tracking is performed by using SSB-timeOffset, and the PDD. Specifically, the PDD consists of two parts, one is the service link PDD which can be calculated by satellite ephemeris information and UE location, the other is the PDD between UL RP and satellite which can be derived by ta-common configuration. From the perspective of network, it is responsible to broadcast the accurate SSB-TimeOffset, which given in number of subframes. </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If we change the ssb-TimeOffset reference point definition to gNB, then from the perspective of UE, the target SSB tracking is performed by using SSB-timeOffset, and the PDD</w:t>
      </w:r>
      <w:r>
        <w:rPr>
          <w:rFonts w:hint="default"/>
          <w:sz w:val="20"/>
          <w:szCs w:val="20"/>
          <w:lang w:val="en-US" w:eastAsia="zh-CN"/>
        </w:rPr>
        <w:t>’</w:t>
      </w:r>
      <w:r>
        <w:rPr>
          <w:rFonts w:hint="eastAsia"/>
          <w:sz w:val="20"/>
          <w:szCs w:val="20"/>
          <w:lang w:val="en-US" w:eastAsia="zh-CN"/>
        </w:rPr>
        <w:t>. Specifically, the PDD</w:t>
      </w:r>
      <w:r>
        <w:rPr>
          <w:rFonts w:hint="default"/>
          <w:sz w:val="20"/>
          <w:szCs w:val="20"/>
          <w:lang w:val="en-US" w:eastAsia="zh-CN"/>
        </w:rPr>
        <w:t>’</w:t>
      </w:r>
      <w:r>
        <w:rPr>
          <w:rFonts w:hint="eastAsia"/>
          <w:sz w:val="20"/>
          <w:szCs w:val="20"/>
          <w:lang w:val="en-US" w:eastAsia="zh-CN"/>
        </w:rPr>
        <w:t xml:space="preserve"> consists of two parts, one is the service link PDD can be calculated by satellite ephemeris information and UE location, the other is the feeder link PDD which can be calculated by TA common configuration and kmac. From the perspective of network, it is responsible to broadcast the accurate kmac_serving - kmac_target, which given in number of slots. </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R17, RAN1 agreed that the UL RP localization is not specified and left to the implementation. The parameter of Kmac could be larger than the actual propagation delay between the gNB and the uplink synchronization reference point. For SSB-TimeOffset reference point at UL RP, this may lead to the error between SSB-TimeOffset_actual = Tx_SSB-TimeOffset + (kmac_serving_actual - kmac_target_actual）and SSB-TimeOffset_configured, due to the large granularity of SSB-TimeOffset.  For SSB-TimeOffset reference point at gNB, this may lead to the error between the </w:t>
      </w:r>
      <w:r>
        <w:rPr>
          <w:rFonts w:hint="default"/>
          <w:sz w:val="20"/>
          <w:szCs w:val="20"/>
          <w:lang w:val="en-US" w:eastAsia="zh-CN"/>
        </w:rPr>
        <w:t>‘</w:t>
      </w:r>
      <w:r>
        <w:rPr>
          <w:rFonts w:hint="eastAsia"/>
          <w:sz w:val="20"/>
          <w:szCs w:val="20"/>
          <w:lang w:val="en-US" w:eastAsia="zh-CN"/>
        </w:rPr>
        <w:t>kmac_serving_actual - kmac_target_actual</w:t>
      </w:r>
      <w:r>
        <w:rPr>
          <w:rFonts w:hint="default"/>
          <w:sz w:val="20"/>
          <w:szCs w:val="20"/>
          <w:lang w:val="en-US" w:eastAsia="zh-CN"/>
        </w:rPr>
        <w:t>’</w:t>
      </w:r>
      <w:r>
        <w:rPr>
          <w:rFonts w:hint="eastAsia"/>
          <w:sz w:val="20"/>
          <w:szCs w:val="20"/>
          <w:lang w:val="en-US" w:eastAsia="zh-CN"/>
        </w:rPr>
        <w:t xml:space="preserve"> and the </w:t>
      </w:r>
      <w:r>
        <w:rPr>
          <w:rFonts w:hint="default"/>
          <w:sz w:val="20"/>
          <w:szCs w:val="20"/>
          <w:lang w:val="en-US" w:eastAsia="zh-CN"/>
        </w:rPr>
        <w:t>‘</w:t>
      </w:r>
      <w:r>
        <w:rPr>
          <w:rFonts w:hint="eastAsia"/>
          <w:sz w:val="20"/>
          <w:szCs w:val="20"/>
          <w:lang w:val="en-US" w:eastAsia="zh-CN"/>
        </w:rPr>
        <w:t>kmac_serving_configured - kmac_target_configured</w:t>
      </w:r>
      <w:r>
        <w:rPr>
          <w:rFonts w:hint="default"/>
          <w:sz w:val="20"/>
          <w:szCs w:val="20"/>
          <w:lang w:val="en-US" w:eastAsia="zh-CN"/>
        </w:rPr>
        <w:t>’</w:t>
      </w:r>
      <w:r>
        <w:rPr>
          <w:rFonts w:hint="eastAsia"/>
          <w:sz w:val="20"/>
          <w:szCs w:val="20"/>
          <w:lang w:val="en-US" w:eastAsia="zh-CN"/>
        </w:rPr>
        <w:t>, due to the large granularity of kmac. However, network could also avoid such error by set UL RP properly. For example, let kmac_serving_actual - kmac_target_actual = 0. Moreover, if using UL RP as the reference point for SSB-TimeOffset, when (kmac_serving_actual - kmac_target_actual） is not in the granularity of subframe, network could adjust the Tx_SSB-TimeOffset to make the SSB-TimeOffset_actual in unit of subframe.</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Based on the analysis above, we think both gNB and UL RP can be used as the reference point of SSB-TimeOffset. However, we don</w:t>
      </w:r>
      <w:r>
        <w:rPr>
          <w:rFonts w:hint="default"/>
          <w:sz w:val="20"/>
          <w:szCs w:val="20"/>
          <w:lang w:val="en-US" w:eastAsia="zh-CN"/>
        </w:rPr>
        <w:t>’</w:t>
      </w:r>
      <w:r>
        <w:rPr>
          <w:rFonts w:hint="eastAsia"/>
          <w:sz w:val="20"/>
          <w:szCs w:val="20"/>
          <w:lang w:val="en-US" w:eastAsia="zh-CN"/>
        </w:rPr>
        <w:t>t see any further motivation and advantage to change the reference point of SSB-TimeOffset from UL RP to gNB. In fact, when the reference point of SSB-TimeOffset is on UL RP, we see more flexibility for gNB implementation to guarantee UE could acquire accurate SSB Offset from UE side.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1: No issue is identified when gNB used as the reference point of ssb-TimeOffset.</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Observation 2: No issue is identified when UL reference point used as the reference point of ssb-TimeOffset as well.</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3: No strong motivation is identified for changing the the reference point of ssb-TimeOffset from the UL RP to gNB.</w:t>
      </w:r>
      <w:bookmarkStart w:id="9" w:name="_GoBack"/>
      <w:bookmarkEnd w:id="9"/>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3: Check whether exists strong motivation of this ssb-TimeOffset reference point changing. If no, we prefer to keep the current spec as it is, which leaves more space for NW implementation. </w:t>
      </w:r>
    </w:p>
    <w:p>
      <w:pPr>
        <w:outlineLvl w:val="2"/>
        <w:rPr>
          <w:rFonts w:hint="default"/>
          <w:b/>
          <w:i/>
          <w:iCs/>
          <w:sz w:val="20"/>
          <w:szCs w:val="20"/>
          <w:highlight w:val="none"/>
          <w:u w:val="single"/>
          <w:lang w:val="en-US" w:eastAsia="zh-CN"/>
        </w:rPr>
      </w:pP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The location-based measurement triggering is not applicable for cell re-selection from TN to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Define an applicability rule for the new subclause for TN to NTN cell reselection requirements, that the requirements are only applicable when the UE is NTN capable and NTN neighbor cell(s) has been configured for measurements.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1: No issue is identified when gNB used as the reference point of ssb-TimeOffset.</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b/>
          <w:bCs/>
          <w:i/>
          <w:iCs/>
          <w:sz w:val="20"/>
          <w:szCs w:val="20"/>
          <w:lang w:val="en-US" w:eastAsia="zh-CN"/>
        </w:rPr>
        <w:t>Observation 2: No issue is identified when UL reference point used as the reference point of ssb-TimeOffset as well.</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3: No strong motivation is identified which changing the the reference point of ssb-TimeOffset from the UL RP to gNB.</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Proposal 3: Check whether exists strong motivation of this ssb-TimeOffset reference point changing. If no, we prefer to keep the current spec as it is, which leaves more space for NW implementation. </w:t>
      </w:r>
    </w:p>
    <w:p>
      <w:pPr>
        <w:spacing w:before="60"/>
        <w:rPr>
          <w:sz w:val="20"/>
          <w:szCs w:val="20"/>
        </w:rPr>
      </w:pP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sz w:val="20"/>
          <w:szCs w:val="20"/>
          <w:lang w:val="en-GB"/>
        </w:rPr>
      </w:pPr>
      <w:r>
        <w:rPr>
          <w:rFonts w:hint="eastAsia"/>
          <w:sz w:val="20"/>
          <w:szCs w:val="20"/>
          <w:lang w:val="en-US" w:eastAsia="zh-CN"/>
        </w:rPr>
        <w:t xml:space="preserve">R4-2406430, WF on RRM requirements for NR_NTN_enh, </w:t>
      </w:r>
      <w:r>
        <w:rPr>
          <w:rFonts w:hint="eastAsia"/>
          <w:sz w:val="20"/>
          <w:szCs w:val="20"/>
          <w:lang w:val="en-GB"/>
        </w:rPr>
        <w:t>Qual</w:t>
      </w:r>
      <w:r>
        <w:rPr>
          <w:sz w:val="20"/>
          <w:szCs w:val="20"/>
          <w:lang w:val="en-GB"/>
        </w:rPr>
        <w:t>comm Incorporated.</w:t>
      </w:r>
    </w:p>
    <w:p>
      <w:pPr>
        <w:numPr>
          <w:ilvl w:val="0"/>
          <w:numId w:val="6"/>
        </w:numPr>
        <w:rPr>
          <w:sz w:val="20"/>
          <w:szCs w:val="20"/>
          <w:lang w:val="en-GB"/>
        </w:rPr>
      </w:pPr>
      <w:r>
        <w:rPr>
          <w:rFonts w:hint="eastAsia"/>
          <w:sz w:val="20"/>
          <w:szCs w:val="20"/>
          <w:lang w:val="en-US" w:eastAsia="zh-CN"/>
        </w:rPr>
        <w:t xml:space="preserve">R2-2403771, </w:t>
      </w:r>
      <w:r>
        <w:rPr>
          <w:rFonts w:hint="eastAsia"/>
          <w:sz w:val="20"/>
          <w:szCs w:val="20"/>
          <w:lang w:val="en-GB"/>
        </w:rPr>
        <w:t>LS on reference point for SSB-TimeOffset</w:t>
      </w:r>
      <w:r>
        <w:rPr>
          <w:rFonts w:hint="eastAsia"/>
          <w:sz w:val="20"/>
          <w:szCs w:val="20"/>
          <w:lang w:val="en-US" w:eastAsia="zh-CN"/>
        </w:rPr>
        <w:t>, RAN2</w:t>
      </w:r>
    </w:p>
    <w:p>
      <w:pPr>
        <w:numPr>
          <w:ilvl w:val="0"/>
          <w:numId w:val="6"/>
        </w:numPr>
        <w:rPr>
          <w:sz w:val="20"/>
          <w:szCs w:val="20"/>
          <w:lang w:val="en-GB"/>
        </w:rPr>
      </w:pPr>
      <w:r>
        <w:rPr>
          <w:rFonts w:hint="eastAsia"/>
          <w:sz w:val="20"/>
          <w:szCs w:val="20"/>
          <w:lang w:val="en-US" w:eastAsia="zh-CN"/>
        </w:rPr>
        <w:t xml:space="preserve">R4-2403492, WF on RRM requirements for NR_NTN_enh, </w:t>
      </w:r>
      <w:r>
        <w:rPr>
          <w:rFonts w:hint="eastAsia"/>
          <w:sz w:val="20"/>
          <w:szCs w:val="20"/>
          <w:lang w:val="en-GB"/>
        </w:rPr>
        <w:t>Qual</w:t>
      </w:r>
      <w:r>
        <w:rPr>
          <w:sz w:val="20"/>
          <w:szCs w:val="20"/>
          <w:lang w:val="en-GB"/>
        </w:rPr>
        <w:t>comm Incorporated.</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32875BA"/>
    <w:rsid w:val="04027B7C"/>
    <w:rsid w:val="04270E0A"/>
    <w:rsid w:val="04F14AC0"/>
    <w:rsid w:val="05E842A2"/>
    <w:rsid w:val="061C4A75"/>
    <w:rsid w:val="06830D33"/>
    <w:rsid w:val="07B91BA9"/>
    <w:rsid w:val="09301679"/>
    <w:rsid w:val="098E414D"/>
    <w:rsid w:val="0A2F10B0"/>
    <w:rsid w:val="0A314183"/>
    <w:rsid w:val="0A512B65"/>
    <w:rsid w:val="0B3C6892"/>
    <w:rsid w:val="0B4D1804"/>
    <w:rsid w:val="0B4E364B"/>
    <w:rsid w:val="0BC169A8"/>
    <w:rsid w:val="0BFD3FEE"/>
    <w:rsid w:val="0BFE43A0"/>
    <w:rsid w:val="0C34713B"/>
    <w:rsid w:val="0D11391B"/>
    <w:rsid w:val="0D6D742F"/>
    <w:rsid w:val="0E1E058B"/>
    <w:rsid w:val="0E6C3CB3"/>
    <w:rsid w:val="0E723D6F"/>
    <w:rsid w:val="0EA0635C"/>
    <w:rsid w:val="0EB73522"/>
    <w:rsid w:val="0EC601AB"/>
    <w:rsid w:val="10FD15E1"/>
    <w:rsid w:val="11410433"/>
    <w:rsid w:val="11502A3C"/>
    <w:rsid w:val="116206E1"/>
    <w:rsid w:val="11E74B6B"/>
    <w:rsid w:val="135D091C"/>
    <w:rsid w:val="144E60BA"/>
    <w:rsid w:val="14704788"/>
    <w:rsid w:val="155A08C9"/>
    <w:rsid w:val="17F40229"/>
    <w:rsid w:val="19166C11"/>
    <w:rsid w:val="19684D1A"/>
    <w:rsid w:val="199268D2"/>
    <w:rsid w:val="19AE4C3C"/>
    <w:rsid w:val="1A337C08"/>
    <w:rsid w:val="1AE9076D"/>
    <w:rsid w:val="1B08792E"/>
    <w:rsid w:val="1C045BB5"/>
    <w:rsid w:val="1D482986"/>
    <w:rsid w:val="1D530466"/>
    <w:rsid w:val="20741BCD"/>
    <w:rsid w:val="21E6327B"/>
    <w:rsid w:val="226278E6"/>
    <w:rsid w:val="22CD4739"/>
    <w:rsid w:val="22DF4B25"/>
    <w:rsid w:val="23F24A71"/>
    <w:rsid w:val="2453420A"/>
    <w:rsid w:val="25B0630F"/>
    <w:rsid w:val="264F651F"/>
    <w:rsid w:val="26AB5CAA"/>
    <w:rsid w:val="270343AF"/>
    <w:rsid w:val="275238E8"/>
    <w:rsid w:val="27885E9A"/>
    <w:rsid w:val="27A9199E"/>
    <w:rsid w:val="27C37418"/>
    <w:rsid w:val="27E70AD2"/>
    <w:rsid w:val="282B4205"/>
    <w:rsid w:val="28340C68"/>
    <w:rsid w:val="28E63708"/>
    <w:rsid w:val="2903193C"/>
    <w:rsid w:val="293A0182"/>
    <w:rsid w:val="29F41202"/>
    <w:rsid w:val="2A1C7136"/>
    <w:rsid w:val="2A52567F"/>
    <w:rsid w:val="2B2D51E0"/>
    <w:rsid w:val="2CCE420F"/>
    <w:rsid w:val="2D3C0CBF"/>
    <w:rsid w:val="2D480610"/>
    <w:rsid w:val="2E177608"/>
    <w:rsid w:val="2E285745"/>
    <w:rsid w:val="2E954754"/>
    <w:rsid w:val="2EBB7CD6"/>
    <w:rsid w:val="2ECD6A4D"/>
    <w:rsid w:val="2F1F43E1"/>
    <w:rsid w:val="2FF748E5"/>
    <w:rsid w:val="302A3B16"/>
    <w:rsid w:val="30B631AE"/>
    <w:rsid w:val="311C418B"/>
    <w:rsid w:val="312A6EA1"/>
    <w:rsid w:val="33106379"/>
    <w:rsid w:val="33417212"/>
    <w:rsid w:val="339A6C60"/>
    <w:rsid w:val="33A629ED"/>
    <w:rsid w:val="33C33478"/>
    <w:rsid w:val="33E2308C"/>
    <w:rsid w:val="33FF585B"/>
    <w:rsid w:val="34C969B6"/>
    <w:rsid w:val="35CB3800"/>
    <w:rsid w:val="36267311"/>
    <w:rsid w:val="36ED2DC2"/>
    <w:rsid w:val="3B1D4D3A"/>
    <w:rsid w:val="3B1E11F2"/>
    <w:rsid w:val="3B3261DC"/>
    <w:rsid w:val="3BCD3BF3"/>
    <w:rsid w:val="3C1C2A58"/>
    <w:rsid w:val="3C3F629C"/>
    <w:rsid w:val="3D2E150D"/>
    <w:rsid w:val="3D774C98"/>
    <w:rsid w:val="3DD26E51"/>
    <w:rsid w:val="3FFA159D"/>
    <w:rsid w:val="4028093E"/>
    <w:rsid w:val="40A203D0"/>
    <w:rsid w:val="41021CB6"/>
    <w:rsid w:val="42714C57"/>
    <w:rsid w:val="428C04CB"/>
    <w:rsid w:val="438A330C"/>
    <w:rsid w:val="43D2693C"/>
    <w:rsid w:val="44694FB6"/>
    <w:rsid w:val="44D416C8"/>
    <w:rsid w:val="44F042A4"/>
    <w:rsid w:val="45004955"/>
    <w:rsid w:val="45104F09"/>
    <w:rsid w:val="4568626D"/>
    <w:rsid w:val="468D0F58"/>
    <w:rsid w:val="47382E8E"/>
    <w:rsid w:val="47BD2EBF"/>
    <w:rsid w:val="483C7010"/>
    <w:rsid w:val="48827744"/>
    <w:rsid w:val="489F04CD"/>
    <w:rsid w:val="48DD3AEA"/>
    <w:rsid w:val="48FF5BC4"/>
    <w:rsid w:val="4909275C"/>
    <w:rsid w:val="496B0DFD"/>
    <w:rsid w:val="499C7F1A"/>
    <w:rsid w:val="4A4107F5"/>
    <w:rsid w:val="4AB334E0"/>
    <w:rsid w:val="4AC54120"/>
    <w:rsid w:val="4AE14CE5"/>
    <w:rsid w:val="4B820C21"/>
    <w:rsid w:val="4C740FBB"/>
    <w:rsid w:val="4CB32D3F"/>
    <w:rsid w:val="4D2C3744"/>
    <w:rsid w:val="4DF73079"/>
    <w:rsid w:val="4E222F58"/>
    <w:rsid w:val="4E63642D"/>
    <w:rsid w:val="4E734BC1"/>
    <w:rsid w:val="4EEE3525"/>
    <w:rsid w:val="4F4A5D3D"/>
    <w:rsid w:val="4FBE626D"/>
    <w:rsid w:val="50047D3F"/>
    <w:rsid w:val="50803E7A"/>
    <w:rsid w:val="50FC4159"/>
    <w:rsid w:val="52387E00"/>
    <w:rsid w:val="52657DC0"/>
    <w:rsid w:val="52A02608"/>
    <w:rsid w:val="53046661"/>
    <w:rsid w:val="53F344DD"/>
    <w:rsid w:val="54141C5F"/>
    <w:rsid w:val="5415308F"/>
    <w:rsid w:val="559303C8"/>
    <w:rsid w:val="56D73D29"/>
    <w:rsid w:val="56D805CB"/>
    <w:rsid w:val="585C7AD6"/>
    <w:rsid w:val="587E7112"/>
    <w:rsid w:val="58B90AAC"/>
    <w:rsid w:val="58D33E46"/>
    <w:rsid w:val="59804317"/>
    <w:rsid w:val="5A3916BC"/>
    <w:rsid w:val="5A5554D1"/>
    <w:rsid w:val="5ACB668C"/>
    <w:rsid w:val="5AD564E3"/>
    <w:rsid w:val="5B9A48FE"/>
    <w:rsid w:val="5BE54260"/>
    <w:rsid w:val="5C03165A"/>
    <w:rsid w:val="5DE26877"/>
    <w:rsid w:val="5E0314D0"/>
    <w:rsid w:val="5EA54D66"/>
    <w:rsid w:val="5FAE3C1E"/>
    <w:rsid w:val="60176AA1"/>
    <w:rsid w:val="601C52A9"/>
    <w:rsid w:val="603B3B74"/>
    <w:rsid w:val="61AF27D1"/>
    <w:rsid w:val="61FE73B1"/>
    <w:rsid w:val="621D6C97"/>
    <w:rsid w:val="629C6F02"/>
    <w:rsid w:val="636D6759"/>
    <w:rsid w:val="646D5888"/>
    <w:rsid w:val="649B770A"/>
    <w:rsid w:val="666B0042"/>
    <w:rsid w:val="6695767F"/>
    <w:rsid w:val="669876C5"/>
    <w:rsid w:val="669A6BCA"/>
    <w:rsid w:val="66B83359"/>
    <w:rsid w:val="674701DD"/>
    <w:rsid w:val="674E1284"/>
    <w:rsid w:val="67791B52"/>
    <w:rsid w:val="67B02672"/>
    <w:rsid w:val="67F34F90"/>
    <w:rsid w:val="67FA6925"/>
    <w:rsid w:val="68F9738C"/>
    <w:rsid w:val="690A41ED"/>
    <w:rsid w:val="6950210B"/>
    <w:rsid w:val="69B84930"/>
    <w:rsid w:val="6AA1751A"/>
    <w:rsid w:val="6B3773F6"/>
    <w:rsid w:val="6D72001A"/>
    <w:rsid w:val="6E7D749A"/>
    <w:rsid w:val="6FD518E1"/>
    <w:rsid w:val="709A16D4"/>
    <w:rsid w:val="70B558FD"/>
    <w:rsid w:val="7191735E"/>
    <w:rsid w:val="738E763D"/>
    <w:rsid w:val="74521C25"/>
    <w:rsid w:val="74BC07DB"/>
    <w:rsid w:val="7530247A"/>
    <w:rsid w:val="76871284"/>
    <w:rsid w:val="769367A2"/>
    <w:rsid w:val="77DC6BAC"/>
    <w:rsid w:val="77EB1A53"/>
    <w:rsid w:val="78833509"/>
    <w:rsid w:val="78DE7EBE"/>
    <w:rsid w:val="79497FA2"/>
    <w:rsid w:val="799A470F"/>
    <w:rsid w:val="7A8B7C93"/>
    <w:rsid w:val="7B0E64C9"/>
    <w:rsid w:val="7B3426D8"/>
    <w:rsid w:val="7CAD6BC4"/>
    <w:rsid w:val="7CF466CF"/>
    <w:rsid w:val="7F2D7455"/>
    <w:rsid w:val="7F5877E7"/>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13</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2024-05-13T07:16:45Z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